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imes New Roman" w:eastAsia="Times New Roman" w:hAnsi="Times New Roman" w:cs="Times New Roman"/>
          <w:i/>
          <w:iCs/>
          <w:color w:val="FF00FF"/>
          <w:rtl/>
          <w:lang w:eastAsia="fr-FR"/>
        </w:rPr>
        <w:t xml:space="preserve">خصائص كل </w:t>
      </w:r>
      <w:proofErr w:type="gramStart"/>
      <w:r w:rsidRPr="00AC6425">
        <w:rPr>
          <w:rFonts w:ascii="Times New Roman" w:eastAsia="Times New Roman" w:hAnsi="Times New Roman" w:cs="Times New Roman"/>
          <w:i/>
          <w:iCs/>
          <w:color w:val="FF00FF"/>
          <w:rtl/>
          <w:lang w:eastAsia="fr-FR"/>
        </w:rPr>
        <w:t>شاعر</w:t>
      </w:r>
      <w:proofErr w:type="gramEnd"/>
      <w:r w:rsidRPr="00AC6425">
        <w:rPr>
          <w:rFonts w:ascii="Times New Roman" w:eastAsia="Times New Roman" w:hAnsi="Times New Roman" w:cs="Times New Roman"/>
          <w:i/>
          <w:iCs/>
          <w:color w:val="FF00FF"/>
          <w:rtl/>
          <w:lang w:eastAsia="fr-FR"/>
        </w:rPr>
        <w:t xml:space="preserve"> المقررة في المنهاج</w:t>
      </w:r>
      <w:r w:rsidRPr="00AC6425">
        <w:rPr>
          <w:rFonts w:ascii="Times New Roman" w:eastAsia="Times New Roman" w:hAnsi="Times New Roman" w:cs="Times New Roman"/>
          <w:i/>
          <w:iCs/>
          <w:color w:val="FF00FF"/>
          <w:lang w:eastAsia="fr-FR"/>
        </w:rPr>
        <w:t>: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خصائص أدب المنفى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 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الحنين إلى الوطن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ذكر مآثر الوطني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الإهتمام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بالصورة الشعرية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البكاء على فراق الأهل والمحبة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طغيان مسحت (ظاهرة الحزن على القصيدة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t>)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النزعة الإنسانية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مظاهر التجديد في القصيدة العربية المعاصرة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بناء القصيدة أو النص على وحدة التفعيلة دون تقيد بعدد التفعيلات في السطر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تجلي الوحدة العضوية (الترابط بين وحدات النص أي أبيات النص ترابطا يستحيل معه التقديم أو التأخير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t>)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شيوع ظاهرة الرمز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التعبير بالصورة الشعرية التي حلت محل البيان والبديع التقليدي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الإهتمام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أكثر بالمضمون أو المحتوى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المزج بين بساطة اللغة والعمق الدلالي للألفاظ (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إستخدام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الألفاظ الموحية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t>)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شيوع النزعة التفاؤلية أو التشاؤمية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النزعة الإنسانية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خصائص أسلوب البشير الإبراهيمي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محافظ متأثر بمدرسة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الصنعاء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اللفظية التي تعني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بإختيار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الألفاظ وتزيين العبارة بألوان البيان والبديع دون إهمال المعنى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 xml:space="preserve">أسلوب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إبن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 xml:space="preserve"> خلدون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أسلوبه في الكتابة هو الأسلوب العلمي التأدب ومن أسسه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إختيار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الألفاظ والدقة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الموضوعية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الإكثار من المصطلحات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الإجمال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التفصيل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 xml:space="preserve">مميزات أسلوب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البوصيري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الرصانة والجزالة وحسن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إستعمال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البديع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الإقتباس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من القرآن الكريم والحديث النبوي الشريف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صدق العاطفة والإحساس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بساطة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الإفكار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وتكرارها في بعض الأحيان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إعتماده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على وحدة البيت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كثرة التضمين والبديع نتيجة عن توليد المعنى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 xml:space="preserve">مميزات أسلوب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إبن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 xml:space="preserve">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نباتة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 xml:space="preserve"> المصري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التقليد على مستوى الشكل والمضمون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إعتماده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على وحدة البيت (وهي استقلال كل بيت شعري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بمعنه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عما قبله ومن بعده من الأبيات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t>)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كثرة التضمين والبديع نتيجة عن توليد المعنى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 xml:space="preserve">مميزات أسلوب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القزويني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أسلوب علمي مباشر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المصطلحات العلمية المناسبة لطبيعة الموضوع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الإطالة والتفضيل وتكثيف مادة (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المعلوت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والإستشهادات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نتيجة إتباعه طريقة الجمع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خلو أسلوبه من الجمال الفني وغلبة الطابع السردي عليه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lastRenderedPageBreak/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مميزات أسلوب عبد الرحمن بن خلدون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الطريقة العلمية في طرح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الألإكار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ومناقتها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وضوح المعاني وترابطها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سلامة التركيب وخلوه من الركاكة التي شاعت في عصره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>-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الإستعنة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بألوان البيان والبديع بالقسم الذي يخدم الفكرة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مميزات أسلوب محمد سامي البارودي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المزج ين التجربة الشعورية الصادقة وخاصية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المعاكاة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والتقليد وذلك لكونه متأثرا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بفعول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الشعراء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وضوح الألفاظ وخلوها من العامية التي شاع ذكرها عند الشعراء السابقين خلال مرحلة الضعف كما أنها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إمتداد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للقاموس اللغوي القديم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عباراته جزلة محكمة النسيج ليس فيها غموض أو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إلتواء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توظيف الصور بالقدر الذي يخدم المعنى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مميزات أسلوب أحمد شوقي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محاكاة الشعراء القدامى في الشكل والمضمون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اللغة الراقية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التجديد في الوزن والقافية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سهولة اللغة والتراكيب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الوحدة الموضوعية (أي عدم المزوج من الموضوع الواحد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t>)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جودة المعاني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تبنيه كمبادئ المدرسة الكلاسيكية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مميزات أسلوب إيليا أبو ماضي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تبنيه لمبادئ الإتحاد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الرومنسي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الذي يدعوا إلى التجديد شكلا ومضمونا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سهولة اللغة والبعد عن الغموض والتعقيد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بروز النزعة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الفاؤلية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عنده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بروز النزعة الإنسانية عنده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توظيف عناصر الطبيعة لخدمة تجربة الشعورية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ترابط أجزاء القصيدة من خلال الوحدة العضوية والموضوعية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النظرة الفلسفية للإنسان والكون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مميزات أسلوب صلاح عبد الصبور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التجديد في الشكل والمضمون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الرموز وحسن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إنتقائها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وإعطائها بعدا تراثيا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توظيف الأسطورة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التكرار الذي يسهم في ترابط المعاني وجعلها نسيجا واحدا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مميزات أسلوب أمل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دنقل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السمو بالكلمات المألوف إلى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متوى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الكلمات المؤثرة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الرموز وذلك بتوظيف التاريخ الأدبي والسياسي إعطائها أبعادا جديدة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الميل إلى التجديد العروض كتوظيف أكثر من بحر في قصيدة واحدة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توفير الحياة العضوية والموضوعية في قصائده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 xml:space="preserve">مميزات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أسلةوب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 xml:space="preserve"> رشيد سليم الخوري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تبنيه لمبادئ الرابطة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القلمية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إستمد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موضوعاته من الواقع السياسي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والإجتماعي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بروز النزعة القومية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الرمز كأداة التعبير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صدق الشعور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lastRenderedPageBreak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توهج العاطفة وبراعة التصوير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التكرار سواء كان ذلك على مستوى الشكل أو المضمون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الصور والمحسنات في غير التكلف (وسائل لا غايات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t>)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مميزات محمود درويش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بساطة العبارة وعمق الفكرة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توظيف الرموز الأدبية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والتارخية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الصور البيانية التي توحي بالمعنى وتزيده جمال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إحياء العبارة وغلبة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مسجه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الحزن عليها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*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مميزت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أسلوب محمد الصالح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الباوية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تخطي الحدود الضيقة للغة وتحويلها من كونها مجرد آداب للتواصل إلى جمال فني مفعم بالتحدي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توظيف الرموز اللغوية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الإستعانة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بألوان البيان التي يساهم في بناء المعاني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شيوع ظاهرة التكرار لديه وهي ظاهرة مرتبطة بالحالة النفسية لديه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مميزات أسلوب نزار قباني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بروز النزعة القومية لديه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المزج بين الأدب والسياسة والتاريخ مذمة الموضوع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الميل إلى التكرار في المعاني والألفاظ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استعمال الألفاظ الموحية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الرموز وتنويعه بين التاريخي والديني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توظيف الألوان البيانية بصورة عفوية لتخدم المعنى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مميزات أسلوب نازك الملائكة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التعبير عن المواقف من خلال بناء شعري تصويري سردي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المزج بين اللغة البسيطة والعميقة ذات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الولالات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الموحية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البناء الموسيقي الخادم للموقف والمتفاعل معه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ترابط أجزاء القصيدة من خلال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الوحدتين بين العضوية والموضوعية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الرادف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والتضاد لتوضيح المعنى وتأكيده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مميزات أسلوب ميخائيل نعيمة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البساطة والوضوح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على المقارنة والتعليل والمناقشة الخالية من التكلف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الإطناب في المعاني والألفاظ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توظيف الخيال لخدمة المعنى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إصدار الأحكام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مميزات أسلوب توفيق الحكيم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القدرة على توظيف اللغة العربية توظيفا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ذرابيا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البراعة في إدارة الحوار الذي يعطي من خلاله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إنسجاما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وتماسكا عضويا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تحكمه في شخصياته وعدم ترك حرية التصرف لها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براعته في توظيف اللغة المناسبة لكل شخصية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مميزات أسلوب شفيق الكمالي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بروز النزعة الإنسانية التفاؤلية لديه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الرمز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التذكير بالبطولات والوقائع التاريخية مع اسقاط الشخصيات التاريخية القديمة على الحديثة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إستخدام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الألفاظ الموحية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lastRenderedPageBreak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التكرار الذي يسهم في اتساق النص وترابطه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البراعة في تصوير المواقف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مميزات أسلوب البشير الإبراهيمي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التأنق في الأسلوب بلاغة ومعجما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إعتماد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الإقتباس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والتضمين كثرة وذلك بسب تشبعه بالثقافة العربية والإسلامية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توظيف الصور البيانية والمحسنات البديعية بكثرة ولكن ليس من باب التكلف وإنما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بإعتبار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أن أسلوبه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إمتداد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لمدرسة الصنعة اللفظية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إنتقاء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الألفاظ من القاموس اللغوي القديم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الوحدة الموضوعية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مميزات أسلوب طه حسين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أسلوبه من السهل الممتنع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ميله إلى الإطناب والتكرار الفني الذي يهدف من خلاله إلى الإلحاح على المعنى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كثرة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إستعمال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الروابط اللفظية المختلفة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دقة التصوير الفني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التأثر بأسلوب القرآن الكريم (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الإقتباس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t>)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مظاهر التجديد في الشعر العربي الحديث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اتخذت الحركات التجديدية مظهران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1/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مظهر فردي كمحاولة أحمد شوقي في الفن المسرحي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2/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مظهر جماعي كمدرسة الديوان جماعة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أبولو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ومدرسة الشعر الحر وقد تجلت أبرز دعواتهم للتجديد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في: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*توسيع دائرة الموضوعات الشعرية وعدو الوقوف عند الأغراض التقليدية التي طرحها الشعراء القدماء إذ إن كل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شيئ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لديهم يصلح أن يكون موضوعا شعريا مهما كان بسيطا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ضرورة توفير الوحدة العضوية في بناء القصيدة حتى تكون أجزائها متلاحمة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توزيع في الاوزان والقوافي حتى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تتلائم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والحالات الشعورية الذي يعبر عنها الشعر وعدم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التقيد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بالإظافة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لأنها في نظرهم قد تدفع الشاعر إلى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إستخدام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الكلمات الغير مناسبة مضطرا إليها تحت قيود القافية</w:t>
      </w:r>
    </w:p>
    <w:p w:rsidR="00AC6425" w:rsidRPr="00AC6425" w:rsidRDefault="00AC6425" w:rsidP="00AC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 xml:space="preserve">* 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rtl/>
          <w:lang w:eastAsia="fr-FR"/>
        </w:rPr>
        <w:t>خصائص أدب المهجر</w:t>
      </w:r>
      <w:r w:rsidRPr="00AC6425">
        <w:rPr>
          <w:rFonts w:ascii="Traditional Arabic" w:eastAsia="Times New Roman" w:hAnsi="Traditional Arabic" w:cs="Times New Roman"/>
          <w:i/>
          <w:iCs/>
          <w:color w:val="FF0000"/>
          <w:lang w:eastAsia="fr-FR"/>
        </w:rPr>
        <w:t>: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التجديد في الموضوعات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الصدق في التعبير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الميل إلى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إستخدام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الرمز أحيانا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proofErr w:type="spellStart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الإهتمام</w:t>
      </w:r>
      <w:proofErr w:type="spellEnd"/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 xml:space="preserve"> بالمعاني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  <w:t xml:space="preserve">- 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التنويع في الاوزان والقوافي</w:t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lang w:eastAsia="fr-FR"/>
        </w:rPr>
        <w:br/>
      </w:r>
      <w:r w:rsidRPr="00AC6425">
        <w:rPr>
          <w:rFonts w:ascii="Traditional Arabic" w:eastAsia="Times New Roman" w:hAnsi="Traditional Arabic" w:cs="Times New Roman"/>
          <w:i/>
          <w:iCs/>
          <w:color w:val="000000"/>
          <w:rtl/>
          <w:lang w:eastAsia="fr-FR"/>
        </w:rPr>
        <w:t>التساهل في اللغة والتصرف قواعدها</w:t>
      </w:r>
    </w:p>
    <w:p w:rsidR="00DD0430" w:rsidRPr="00AC6425" w:rsidRDefault="00DD0430" w:rsidP="00AC6425">
      <w:pPr>
        <w:bidi/>
      </w:pPr>
    </w:p>
    <w:sectPr w:rsidR="00DD0430" w:rsidRPr="00AC6425" w:rsidSect="00DD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425"/>
    <w:rsid w:val="00092B92"/>
    <w:rsid w:val="002A126E"/>
    <w:rsid w:val="002D7C36"/>
    <w:rsid w:val="002E5928"/>
    <w:rsid w:val="003107A7"/>
    <w:rsid w:val="00347610"/>
    <w:rsid w:val="004671D0"/>
    <w:rsid w:val="00485BEA"/>
    <w:rsid w:val="00571304"/>
    <w:rsid w:val="006A0B1F"/>
    <w:rsid w:val="00805BD3"/>
    <w:rsid w:val="00812B77"/>
    <w:rsid w:val="008C4D28"/>
    <w:rsid w:val="00914D2E"/>
    <w:rsid w:val="00972C98"/>
    <w:rsid w:val="00992B7A"/>
    <w:rsid w:val="00AC6425"/>
    <w:rsid w:val="00B23C59"/>
    <w:rsid w:val="00DB40D2"/>
    <w:rsid w:val="00DC49A8"/>
    <w:rsid w:val="00DD0430"/>
    <w:rsid w:val="00E5290A"/>
    <w:rsid w:val="00EC17CF"/>
    <w:rsid w:val="00F6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30"/>
  </w:style>
  <w:style w:type="paragraph" w:styleId="Titre2">
    <w:name w:val="heading 2"/>
    <w:basedOn w:val="Normal"/>
    <w:link w:val="Titre2Car"/>
    <w:uiPriority w:val="9"/>
    <w:qFormat/>
    <w:rsid w:val="00AC6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642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C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che</cp:lastModifiedBy>
  <cp:revision>2</cp:revision>
  <dcterms:created xsi:type="dcterms:W3CDTF">2013-05-28T21:17:00Z</dcterms:created>
  <dcterms:modified xsi:type="dcterms:W3CDTF">2013-05-28T21:42:00Z</dcterms:modified>
</cp:coreProperties>
</file>